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429895" cy="63817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Par579"/>
    </w:p>
    <w:p>
      <w:pPr>
        <w:pStyle w:val="Normal"/>
        <w:spacing w:before="0" w:after="0"/>
        <w:jc w:val="center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 w:cs="Liberation Serif"/>
          <w:b/>
          <w:bCs/>
          <w:color w:val="000000"/>
        </w:rPr>
      </w:pPr>
      <w:r>
        <w:rPr>
          <w:rFonts w:cs="Liberation Serif" w:ascii="Liberation Serif" w:hAnsi="Liberation Serif"/>
          <w:b/>
          <w:bCs/>
          <w:color w:val="000000"/>
        </w:rPr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3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rPr>
          <w:trHeight w:val="788" w:hRule="atLeast"/>
        </w:trPr>
        <w:tc>
          <w:tcPr>
            <w:tcW w:w="9630" w:type="dxa"/>
            <w:tcBorders>
              <w:top w:val="doub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160"/>
              <w:ind w:hanging="0" w:left="-113" w:right="0"/>
              <w:rPr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en-US"/>
              </w:rPr>
              <w:t>от 30.12.2025                                             п.г.т. Тугулым                                                     № 922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b/>
          <w:bCs/>
          <w:i w:val="false"/>
          <w:iCs w:val="false"/>
          <w:sz w:val="24"/>
          <w:szCs w:val="24"/>
        </w:rPr>
      </w:pPr>
      <w:r>
        <w:rPr>
          <w:rFonts w:cs="Liberation Serif" w:ascii="Liberation Serif" w:hAnsi="Liberation Serif"/>
          <w:b/>
          <w:bCs/>
          <w:i w:val="false"/>
          <w:iCs w:val="false"/>
          <w:sz w:val="24"/>
          <w:szCs w:val="24"/>
        </w:rPr>
        <w:t xml:space="preserve">О внесении изменений в муниципальную программу </w:t>
      </w:r>
    </w:p>
    <w:p>
      <w:pPr>
        <w:pStyle w:val="Heading4"/>
        <w:numPr>
          <w:ilvl w:val="3"/>
          <w:numId w:val="2"/>
        </w:numPr>
        <w:spacing w:lineRule="auto" w:line="240" w:before="0" w:after="0"/>
        <w:ind w:hanging="0" w:left="0" w:right="0"/>
        <w:jc w:val="center"/>
        <w:rPr>
          <w:b/>
          <w:bCs/>
          <w:i w:val="false"/>
          <w:iCs w:val="false"/>
          <w:sz w:val="24"/>
          <w:szCs w:val="24"/>
        </w:rPr>
      </w:pPr>
      <w:r>
        <w:rPr>
          <w:rFonts w:cs="Liberation Serif" w:ascii="Liberation Serif" w:hAnsi="Liberation Serif"/>
          <w:b/>
          <w:bCs/>
          <w:i w:val="false"/>
          <w:iCs w:val="false"/>
          <w:sz w:val="24"/>
          <w:szCs w:val="24"/>
        </w:rPr>
        <w:t>Тугулымского муниципального округа «Управление муниципальной собственностью Тугулымского муниципального округа на период с 2020 до 2027 года»</w:t>
      </w:r>
    </w:p>
    <w:p>
      <w:pPr>
        <w:pStyle w:val="Normal"/>
        <w:spacing w:lineRule="auto" w:line="240" w:before="0" w:after="46"/>
        <w:ind w:right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46"/>
        <w:ind w:right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pacing w:lineRule="auto" w:line="240" w:before="0" w:after="46"/>
        <w:jc w:val="both"/>
        <w:rPr/>
      </w:pPr>
      <w:r>
        <w:rPr>
          <w:rFonts w:cs="Liberation Serif" w:ascii="Liberation Serif" w:hAnsi="Liberation Serif"/>
        </w:rPr>
        <w:tab/>
      </w:r>
      <w:r>
        <w:rPr>
          <w:rFonts w:cs="Liberation Serif" w:ascii="Liberation Serif" w:hAnsi="Liberation Serif"/>
          <w:sz w:val="24"/>
          <w:szCs w:val="24"/>
        </w:rPr>
        <w:t>В целях создания комплексного организационно-технического механизма, обеспечивающего эффективное использование недвижимости Тугулымского муниципального округа, в соответствии с Уставом Тугулымского муниципального округа Свердловской области, Положением о порядке управления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325, администрация Тугулымского муниципального округа</w:t>
      </w:r>
    </w:p>
    <w:p>
      <w:pPr>
        <w:pStyle w:val="Normal"/>
        <w:spacing w:lineRule="auto" w:line="240" w:before="0" w:after="46"/>
        <w:jc w:val="both"/>
        <w:rPr>
          <w:rFonts w:ascii="Liberation Serif" w:hAnsi="Liberation Serif" w:cs="Liberation Serif"/>
          <w:b/>
          <w:bCs/>
          <w:iCs/>
          <w:color w:val="000000"/>
          <w:sz w:val="24"/>
          <w:szCs w:val="24"/>
        </w:rPr>
      </w:pPr>
      <w:r>
        <w:rPr>
          <w:rFonts w:cs="Liberation Serif" w:ascii="Liberation Serif" w:hAnsi="Liberation Serif"/>
          <w:b/>
          <w:bCs/>
          <w:iCs/>
          <w:color w:val="000000"/>
          <w:sz w:val="24"/>
          <w:szCs w:val="24"/>
        </w:rPr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shd w:fill="FFFFFF"/>
        <w:tabs>
          <w:tab w:val="clear" w:pos="708"/>
          <w:tab w:val="left" w:pos="0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 xml:space="preserve">1.   В муниципальную программу Тугулымского муниципального округа «Управление муниципальной собственностью Тугулымского муниципального округа на период с 2020 до 2027 года», утвержденную постановлением администрации Тугулымского городского округа от 31.10.2019 № 303 (в редакции от 10.10.2025 № 688) внести следующие изменения:  </w:t>
      </w:r>
    </w:p>
    <w:p>
      <w:pPr>
        <w:pStyle w:val="Normal"/>
        <w:shd w:fill="FFFFFF"/>
        <w:tabs>
          <w:tab w:val="clear" w:pos="708"/>
          <w:tab w:val="left" w:pos="0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1) в наименование программы и по всему тексту слова «с 2020 до 2027 года» заменить словами «с 2020 до 2028 года»;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2. Муниципальную программу с внесенными изменениями, утвержденными настоящим постановлением, изложить в новой редакции (прилагается).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eastAsia="Liberation Serif" w:cs="Liberation Serif" w:ascii="Liberation Serif" w:hAnsi="Liberation Serif"/>
          <w:sz w:val="24"/>
          <w:szCs w:val="24"/>
        </w:rPr>
        <w:t xml:space="preserve">            </w:t>
      </w:r>
      <w:r>
        <w:rPr>
          <w:rFonts w:cs="Liberation Serif" w:ascii="Liberation Serif" w:hAnsi="Liberation Serif"/>
          <w:sz w:val="24"/>
          <w:szCs w:val="24"/>
        </w:rPr>
        <w:t>3.    Настоящее постановление вступает в силу после его подписания.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4.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 xml:space="preserve">5. Контроль исполнения постановления возложить на заместителя главы Тугулымского муниципального округа Калунину </w:t>
      </w:r>
      <w:r>
        <w:rPr>
          <w:rFonts w:cs="Liberation Serif" w:ascii="Liberation Serif" w:hAnsi="Liberation Serif"/>
          <w:b w:val="false"/>
          <w:bCs w:val="false"/>
          <w:sz w:val="24"/>
          <w:szCs w:val="24"/>
        </w:rPr>
        <w:t>М.О.</w:t>
      </w:r>
    </w:p>
    <w:p>
      <w:pPr>
        <w:pStyle w:val="Normal"/>
        <w:spacing w:lineRule="auto" w:line="240"/>
        <w:jc w:val="both"/>
        <w:rPr>
          <w:rFonts w:ascii="Liberation Serif" w:hAnsi="Liberation Serif" w:eastAsia="Liberation Serif" w:cs="Liberation Serif"/>
          <w:b/>
          <w:bCs w:val="false"/>
          <w:sz w:val="24"/>
          <w:szCs w:val="24"/>
        </w:rPr>
      </w:pPr>
      <w:r>
        <w:rPr>
          <w:rFonts w:eastAsia="Liberation Serif" w:cs="Liberation Serif" w:ascii="Liberation Serif" w:hAnsi="Liberation Serif"/>
          <w:b/>
          <w:bCs w:val="false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 w:eastAsia="Liberation Serif" w:cs="Liberation Serif"/>
          <w:b/>
          <w:bCs w:val="false"/>
          <w:sz w:val="24"/>
          <w:szCs w:val="24"/>
        </w:rPr>
      </w:pPr>
      <w:r>
        <w:rPr>
          <w:rFonts w:eastAsia="Liberation Serif" w:cs="Liberation Serif" w:ascii="Liberation Serif" w:hAnsi="Liberation Serif"/>
          <w:b/>
          <w:bCs w:val="false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 w:eastAsia="Liberation Serif" w:cs="Liberation Serif"/>
          <w:b/>
          <w:bCs w:val="false"/>
          <w:sz w:val="24"/>
          <w:szCs w:val="24"/>
        </w:rPr>
      </w:pPr>
      <w:r>
        <w:rPr>
          <w:rFonts w:eastAsia="Liberation Serif" w:cs="Liberation Serif" w:ascii="Liberation Serif" w:hAnsi="Liberation Serif"/>
          <w:b/>
          <w:bCs w:val="false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bCs/>
          <w:sz w:val="24"/>
          <w:szCs w:val="24"/>
        </w:rPr>
        <w:t>Г</w:t>
      </w:r>
      <w:r>
        <w:rPr>
          <w:rFonts w:cs="Liberation Serif" w:ascii="Liberation Serif" w:hAnsi="Liberation Serif"/>
          <w:sz w:val="24"/>
          <w:szCs w:val="24"/>
        </w:rPr>
        <w:t>лава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А.Н. Поздеев</w:t>
      </w:r>
    </w:p>
    <w:p>
      <w:pPr>
        <w:pStyle w:val="Normal"/>
        <w:widowControl w:val="false"/>
        <w:spacing w:lineRule="auto" w:line="240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  <w:bookmarkStart w:id="1" w:name="Par579_Копия_1"/>
      <w:bookmarkStart w:id="2" w:name="_GoBack_Копия_1"/>
      <w:bookmarkStart w:id="3" w:name="Par579_Копия_1"/>
      <w:bookmarkStart w:id="4" w:name="_GoBack_Копия_1"/>
      <w:bookmarkEnd w:id="3"/>
      <w:bookmarkEnd w:id="4"/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Утверждена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от 30.12.2025 № 922</w:t>
      </w:r>
    </w:p>
    <w:p>
      <w:pPr>
        <w:pStyle w:val="Normal"/>
        <w:keepNext w:val="true"/>
        <w:keepLines/>
        <w:spacing w:lineRule="auto" w:line="240" w:before="0" w:after="0"/>
        <w:ind w:left="300" w:right="58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Муниципальная программа Тугулымского муниципального округа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«Управление муниципальной собственностью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Тугулымского муниципального округа на период с 2020 до 2028 года»</w:t>
      </w:r>
    </w:p>
    <w:p>
      <w:pPr>
        <w:pStyle w:val="Normal"/>
        <w:keepNext w:val="true"/>
        <w:keepLines/>
        <w:widowControl/>
        <w:bidi w:val="0"/>
        <w:spacing w:lineRule="auto" w:line="240" w:before="0" w:after="0"/>
        <w:ind w:hanging="0" w:left="0" w:right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keepNext w:val="true"/>
        <w:keepLines/>
        <w:spacing w:lineRule="auto" w:line="240" w:before="0" w:after="0"/>
        <w:ind w:left="300" w:right="58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Паспорт</w:t>
      </w:r>
    </w:p>
    <w:p>
      <w:pPr>
        <w:pStyle w:val="Normal"/>
        <w:keepNext w:val="true"/>
        <w:keepLines/>
        <w:spacing w:lineRule="auto" w:line="240" w:before="0" w:after="0"/>
        <w:ind w:left="300" w:right="58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муниципальной целевой программы Тугулымского муниципального округа </w:t>
      </w:r>
      <w:bookmarkStart w:id="5" w:name="_Hlk219377724"/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«Управление муниципальной собственностью </w:t>
      </w:r>
    </w:p>
    <w:p>
      <w:pPr>
        <w:pStyle w:val="Normal"/>
        <w:widowControl/>
        <w:bidi w:val="0"/>
        <w:spacing w:lineRule="auto" w:line="240" w:before="0" w:after="0"/>
        <w:ind w:hanging="0" w:left="0" w:right="567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Тугулымского муниципального округа на период с 2020 до 2028 года»</w:t>
      </w:r>
      <w:bookmarkEnd w:id="5"/>
    </w:p>
    <w:p>
      <w:pPr>
        <w:pStyle w:val="Normal"/>
        <w:keepNext w:val="true"/>
        <w:keepLines/>
        <w:spacing w:lineRule="auto" w:line="240" w:before="0" w:after="0"/>
        <w:ind w:left="300" w:right="58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tbl>
      <w:tblPr>
        <w:tblW w:w="9585" w:type="dxa"/>
        <w:jc w:val="left"/>
        <w:tblInd w:w="1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581"/>
        <w:gridCol w:w="7004"/>
      </w:tblGrid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/>
              <w:bidi w:val="0"/>
              <w:spacing w:lineRule="auto" w:line="240" w:before="0" w:after="0"/>
              <w:ind w:hanging="0" w:left="-57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Сроки реализации Муниципальной целевой программы Тугулымского муниципального округа «Управление муниципальной собственностью Тугулымского муниципального округа на период с 2020 по 2028 года».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2020-2028 годы</w:t>
            </w:r>
          </w:p>
        </w:tc>
      </w:tr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Цели и задачи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Цели: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1.Организация системного подхода к вопросам управления и распоряжения муниципальной собственностью Тугулымского муниципального округа, поддержка муниципального имущества в надлежащем техническом состоянии, приватизации, сдачи в аренду объектов муниципальной собственности.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2.Обеспечение доходов местного бюджета от использования и приватизации муниципального имущества и земельных участков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3. Содержание муниципального казенного имущества.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4.Эффективное использование земельных участков, их максимальное вовлечение в оборот.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5. Создание условий для формирования и предоставления земельных участков гражданам и юридическим лицам.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6.Организация использования и охрана городских лесов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Задачи: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1) Сокращение количества муниципальных унитарных предприятий, муниципальных учреждений Тугулымского муниципального округа,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2) увеличение доли объектов недвижимого имущества, находящихся в муниципальной собственности Тугулымского муниципального округа с государственной регистрацией прав на объекты, в общем числе таких объектов, подлежащих государственной регистрации;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3) обеспечение сохранности и надлежащего содержания муниципального имущества, находящегося в муниципальной казне Тугулымского муниципального округа.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4) оценка рыночной стоимости объектов муниципальной собственности;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5)  увеличение доли предоставляемых в пользование (аренду) земельных участков;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6) Формирование земельных участков для дальнейшего предоставления однократно бесплатно в собственность отдельным категориям граждан в соответствии со ст.54-7 Областного закона № 18-ОЗ);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7) подготовка проектов межевания и проведение кадастровых работ по образованию земельных участков из земель сельскохозяйственного назначения, долевой собственности по хозяйствам Тугулымского района, проведение комплексных кадастровых работ; </w:t>
              <w:tab/>
              <w:tab/>
              <w:tab/>
              <w:tab/>
              <w:tab/>
              <w:tab/>
              <w:tab/>
              <w:t xml:space="preserve"> 8) проведение работ по межеванию и установлению границ городских лесов, постановка на государственный кадастровый учет с последующей регистрацией права собственности, разработка лесоустроительной документации на городские леса.</w:t>
            </w:r>
          </w:p>
        </w:tc>
      </w:tr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Перечень подпрограмм муниципальной целевой программы Тугулымского муниципального округа «Управление муниципальной собственностью Тугулымского муниципального округа на период с 2020 до 2028года».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1.Подпрограмма 1. Управление и распоряжение муниципальным   имуществом.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2. Подпрограмма 2. Формирование земельных участков для постановки на государственный кадастровый учет, а также подготовка проектов межевания земельных участков по хозяйствам из невостребованных земельных долей, комплексные кадастровые работы.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3.Подпрограмма 3. Проведение работ по межеванию и установлению границ городских лесов, постановка на государственный кадастровый учет с последующей регистрацией права собственности, разработка лесоустроительной документации на городские леса.</w:t>
            </w:r>
          </w:p>
        </w:tc>
      </w:tr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1) количество муниципальных унитарных предприятий Тугулымского муниципального округа;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2) количество действующих муниципальных учреждений Тугулымского муниципального округа;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3)  количество объектов недвижимости, в отношении которых производится техническая инвентаризация муниципального имущества с последующей регистрацией права;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4) количество объектов муниципальной казны, в отношении которых проведена сохранность и содержание;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5) количество объектов недвижимости, в отношении которых проведена рыночная оценка;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6) количество сформированных земельных участков, в отношении которых проведено межевание и кадастровые работы для проведения торгов, а также под строительство иных объектов муниципальной собственности;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7) количество сформированных земельных участков, в отношении которых проведено межевание и кадастровые работы для дальнейшего предоставления однократно бесплатно в собственность отдельным категориям граждан в соответствии со ст.54-7 Областного закона № 18-ОЗ;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7.1) количество семей получивших социальную выплату взамен предоставления бесплатно в собственность земельного участка гражданам, имеющих трех и более детей;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8) количество подготовленных проектов межевания и проведение кадастровых работ по образованию земельных участков из земель сельскохозяйственного назначения невостребованных земельных долей;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9) количество кадастровых кварталов в отношении которых проведены комплексные кадастровые работы;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10) доля площади городских лесов, на которых установлены границы и проведен кадастровый учет, проведение в общей площади городских лесов Тугулымского муниципального округа;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11) доля площади городских лесов, на которых проведено лесоустройство;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12) количество кварталов в которых проведены мероприятия по противопожарному обустройству лесов.</w:t>
            </w:r>
          </w:p>
        </w:tc>
      </w:tr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Объемы финансирования муниципальной программы по годам реализации, тыс.руб.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ВСЕГО: 62290,4 тысячи рублей,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 том числе: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2020 – 4915,9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2021 – 6504,2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2022 – 3815,0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2023 – 2802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2024 – 12383,3 тысячи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2025 – 20525,0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2026 – 3515,0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2027 -  3915,0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2028 -  3915,0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Местный бюджет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2020 – 4852,9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2021 – 6504,2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2022 – 3815,0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2023 – 2802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2024 – 11870,8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2025 – 20525,0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2026 – 3515,0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2027 -  3915,0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2028 -  3915,0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 по местному бюджету: 61714,9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Областной бюджет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2020 – 63,0 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2024 – 512,5тысяч рублей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ВСЕГО по областному бюджету: 575 ,5 тысяч рублей</w:t>
            </w:r>
          </w:p>
        </w:tc>
      </w:tr>
      <w:tr>
        <w:trPr/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Адрес размещения государственной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программы в сети Интернет</w:t>
            </w:r>
          </w:p>
        </w:tc>
        <w:tc>
          <w:tcPr>
            <w:tcW w:w="7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hyperlink r:id="rId3">
              <w:r>
                <w:rPr>
                  <w:rStyle w:val="Style8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eastAsia="ru-RU"/>
                </w:rPr>
                <w:t>http://tugulym.midural.ru/</w:t>
              </w:r>
            </w:hyperlink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color w:val="000000"/>
          <w:sz w:val="24"/>
          <w:szCs w:val="24"/>
          <w:lang w:eastAsia="ru-RU"/>
        </w:rPr>
      </w:r>
      <w:bookmarkStart w:id="6" w:name="Par258"/>
      <w:bookmarkStart w:id="7" w:name="Par258"/>
      <w:bookmarkEnd w:id="7"/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Раздел 1. Характеристика и анализ текущего состояния сферы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социально- экономического развития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Подпрограмма 1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«</w:t>
      </w: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Управление и распоряжение муниципальным имуществом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»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 собственности Тугулымского муниципального округа находится имущество, предназначенное для решения установленных федеральным законодательством вопросов местного значения, имущество, предназначенное для осуществления отдельных государственных полномочий, имущество, предназначенное для обеспечения деятельности органов местного самоуправления.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Общая стоимость муниципального имущества Тугулымского городского округа по состоянию на 01.01.2019 года составляет 1125,1 млн.руб.,(остаточная стоимость 542,6 млн.руб.) в том числе: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tbl>
      <w:tblPr>
        <w:tblW w:w="934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99"/>
        <w:gridCol w:w="5501"/>
        <w:gridCol w:w="1571"/>
        <w:gridCol w:w="1574"/>
      </w:tblGrid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Балансовая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стоимость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(млн.руб.)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Остаточная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стоимость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(млн.руб.)</w:t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Имущество муниципальной казны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19,6</w:t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Имущество муниципальных предприятий, МБУ, МАУ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829,0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378,5</w:t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Имущество поселковых и сельских управ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139,0</w:t>
            </w:r>
          </w:p>
        </w:tc>
      </w:tr>
      <w:tr>
        <w:trPr/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Имущество муниципальных казенных учреждений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5,5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Отделом имущественных и земельных отношений администрации Тугулымского муниципального округа в непрерывном процессе формируется информационная база данных, содержащая достоверную и полную информацию о составе движимого и недвижимого муниципального имущества, ведется реестр. Реестр объектов муниципальной собственности ведется в соответствии с Приказом от 30.08.2011г. № 424 «Об утверждении порядка ведения органами местного самоуправления реестров муниципального имущества».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Незакрепленное муниципальное имущество составляет муниципальную казну Тугулымского муниципального округа. В казне числится 79 объектов на сумму 21,1 млн. р. Семь объектов переданы в аренду.  Состав казны составляют нежилые помещения, здания, земельные участки, городские леса. Из 79 объектов 17 нежилые здания и помещения, 11 – земельные участки под автомобильными дорогами, 51- городские леса.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Поступления от аренды муниципального имущества в 2018 году составило 1 179,8 тыс. руб., увеличение по сравнению с 2017 годом составило 851,6 тыс.руб.</w:t>
      </w:r>
      <w:r>
        <w:rPr>
          <w:rFonts w:eastAsia="Times New Roman" w:cs="Times New Roman" w:ascii="Liberation Serif" w:hAnsi="Liberation Serif"/>
          <w:color w:val="000080"/>
          <w:sz w:val="24"/>
          <w:szCs w:val="24"/>
          <w:highlight w:val="yellow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Основными проблемами управления муниципальной собственностью в Тугулымском городском округе на текущий момент являются: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1)  низкие темпы вовлечения казенного имущества в оборот, издержки на содержание не вовлеченного в оборот недвижимого имущества;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2) спад спроса на аренду нежилых помещений, снижение заключаемых договоров аренды на нежилые помещения,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4) увеличение недоимки по арендным платежам за нежилые помещения;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5) увеличение случаев банкротств унитарных предприятий, увеличение принятия обязательств по погашению задолженности при процедуре банкротства муниципальных унитарных предприятий.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Муниципальная программа позволит более эффективно управлять и распоряжаться муниципальным имуществом, реализуя мероприятия программы, направленные на решение обозначенных проблем.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Подпрограмма 2 «Формирование земельных участков для постановки на государственный кадастровый учет, а также подготовка проектов межевания земельных участков по хозяйствам из невостребованных земельных долей, комплексные кадастровые работы»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color w:val="000000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lang w:eastAsia="ru-RU"/>
        </w:rPr>
        <w:t>Площадь территории Тугулымского муниципального округа составляет 333 251 га. в том числе: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ind w:firstLine="720"/>
        <w:jc w:val="both"/>
        <w:rPr>
          <w:rFonts w:ascii="Liberation Serif" w:hAnsi="Liberation Serif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color w:val="000000"/>
          <w:sz w:val="24"/>
          <w:szCs w:val="24"/>
          <w:lang w:eastAsia="ru-RU"/>
        </w:rPr>
      </w:r>
    </w:p>
    <w:tbl>
      <w:tblPr>
        <w:tblW w:w="9238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96"/>
        <w:gridCol w:w="6152"/>
        <w:gridCol w:w="1526"/>
        <w:gridCol w:w="1164"/>
      </w:tblGrid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right"/>
              <w:rPr>
                <w:rFonts w:ascii="Liberation Serif" w:hAnsi="Liberation Serif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Категории земель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Общая площадь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га.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Доля %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Площадь территории всего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333251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138955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41,7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9779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2,93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промышленности, энергетики, транспорта, связи, обороны, безопасности   и пр.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особо охраняемых территорий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0,003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лесного фонда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181666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54,51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водного фонда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0,168</w:t>
            </w:r>
          </w:p>
        </w:tc>
      </w:tr>
      <w:tr>
        <w:trPr/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Земли запаса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lang w:eastAsia="ru-RU"/>
              </w:rPr>
              <w:t>0,174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</w:t>
      </w:r>
    </w:p>
    <w:p>
      <w:pPr>
        <w:pStyle w:val="Normal"/>
        <w:shd w:val="clear" w:color="auto" w:fill="FFFFFF"/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По данным Росреестра наличие земель сельскохозяйственного назначения на территории муниципального округа составляет 138 955 га, сельскохозяйственных угодий -54843 га, в том числе пашни 31573 га. Общая площадь земель, используемая сельскохозяйственными организациями -27218 га, площадь земель, находящихся в муниципальной собственности -11314 га, площадь неиспользуемых сельскохозяйственных угодий -33840 га или 61,7%.</w:t>
      </w:r>
    </w:p>
    <w:p>
      <w:pPr>
        <w:pStyle w:val="Normal"/>
        <w:shd w:val="clear" w:color="auto" w:fill="FFFFFF"/>
        <w:tabs>
          <w:tab w:val="clear" w:pos="708"/>
          <w:tab w:val="left" w:pos="720" w:leader="none"/>
        </w:tabs>
        <w:spacing w:lineRule="auto" w:line="240" w:before="0" w:after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Во исполнение полномочий по распоряжению земельными участками, государственная собственность на которые не разграничена администрацией Тугулымского муниципального округа проводится определенная работа, направленная на повышение эффективности использования земельных ресурсов, вовлечение в оборот, в том числе сельскохозяйственных земель.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По состоянию на 01 января 2019 года действовало 1061 договоров аренды, общей площадью 11738,2га, заключено 186 договоров купли-продажи земельных участков на общую площадь 26,9 га. Поступления платы за аренду земельных участков в бюджет муниципального округа в 2018 году составили 4363,1 тыс. руб., по сравнению с 2017 годом поступления увеличились на 1236 тыс.руб или 9 % поступления в бюджет от продажи земельных участков составили 709,8 тыс.руб.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 рамках реализации Указа Президента Российской Федерации</w:t>
      </w:r>
      <w:r>
        <w:rPr>
          <w:rFonts w:eastAsia="Times New Roman" w:cs="Times New Roman" w:ascii="Liberation Serif" w:hAnsi="Liberation Serif"/>
          <w:color w:val="FF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от 07.05.2012 N 600 "О мерах по обеспечению граждан Российской Федерации доступным и комфортным жильем и повышению качества жилищно-коммунальных услуг"</w:t>
      </w:r>
      <w:r>
        <w:rPr>
          <w:rFonts w:eastAsia="Times New Roman" w:cs="Times New Roman" w:ascii="Liberation Serif" w:hAnsi="Liberation Serif"/>
          <w:color w:val="FF0000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предоставлено бесплатно 77 земельных участков для многодетных семей.         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Реализация муниципальной позволит более эффективно использовать земельные ресурсы, в том числе земли сельскохозяйственного назначения, повысить поступления в бюджет неналоговых доходов.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Проведение комплексных кадастровых работ дополнительно привлечет в бюджет доходы в виде налога на имущества и земельного налога. Будет реализовываться на постоянной основе Указ Президента РФ от 07.05.2012 N 600 "О мерах по обеспечению граждан Российской Федерации доступным и комфортным жильем и повышению качества жилищно-коммунальных услуг" в части предоставления земельных участков многодетным семьям.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Подпрограмма 3 «Проведение работ по межеванию и установлению границ городских лесов, постановка на государственный кадастровый учет с последующей регистрацией права собственности»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8400" w:leader="none"/>
        </w:tabs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На территории Тугулымского муниципального округа расположены городские леса. По данным ЕГРН городские леса располагаются на площади 1775 га. Начиная с 2009 года планомерно ведется работа по уточнению границ городских лесов на землях населенных пунктов. На текущую дату на государственный кадастровый учет поставлено 1264,13 га городских лесов в 28 населенных пунктах Тугулымского муниципального округа.   </w:t>
      </w:r>
    </w:p>
    <w:p>
      <w:pPr>
        <w:pStyle w:val="Normal"/>
        <w:tabs>
          <w:tab w:val="clear" w:pos="708"/>
          <w:tab w:val="left" w:pos="8400" w:leader="none"/>
        </w:tabs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 соответствии с программой будет продолжена работа по установлению границы городских лесов в населенных пунктах, разработана лесоустроительная документация последующих регистрации права собственности.</w:t>
      </w:r>
    </w:p>
    <w:p>
      <w:pPr>
        <w:pStyle w:val="Normal"/>
        <w:tabs>
          <w:tab w:val="clear" w:pos="708"/>
          <w:tab w:val="left" w:pos="8400" w:leader="none"/>
        </w:tabs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540"/>
        <w:jc w:val="both"/>
        <w:rPr/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Необходимость решения проблем и достижение целей настоящей муниципальной программы соответствует </w:t>
      </w:r>
      <w:hyperlink r:id="rId4">
        <w:r>
          <w:rPr>
            <w:rStyle w:val="Style8"/>
            <w:rFonts w:eastAsia="Times New Roman" w:cs="Times New Roman" w:ascii="Liberation Serif" w:hAnsi="Liberation Serif"/>
            <w:sz w:val="24"/>
            <w:szCs w:val="24"/>
            <w:lang w:eastAsia="ru-RU"/>
          </w:rPr>
          <w:t>Стратегии</w:t>
        </w:r>
      </w:hyperlink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социально-экономического развития Тугулымского муниципального округа Свердловской области на период до 2030 года, утвержденной Решением Думы Тугулымского муниципального округа от 12 апреля 2019 года, в сфере совершенствования управления муниципальной собственностью Тугулымского муниципального округа.</w:t>
      </w:r>
    </w:p>
    <w:p>
      <w:pPr>
        <w:pStyle w:val="Normal"/>
        <w:spacing w:lineRule="auto" w:line="240" w:before="0" w:after="0"/>
        <w:ind w:firstLine="54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Раздел 2. Цели и задачи муниципальной программы, целевые показатели реализации муниципальной программы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Цели, задачи и целевые показатели реализации Программы приведены в Приложение № 1 к настоящей Программе.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Раздел 3. План мероприятий по выполнению муниципальной программы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План мероприятий по выполнению Программы приведен в Приложении № 2 к настоящей Программе.</w:t>
      </w:r>
    </w:p>
    <w:p>
      <w:pPr>
        <w:pStyle w:val="Normal"/>
        <w:spacing w:before="0" w:after="16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bookmarkStart w:id="8" w:name="Par579_Копия_1_Копия_1"/>
      <w:bookmarkStart w:id="9" w:name="_GoBack_Копия_1_Копия_1"/>
      <w:bookmarkStart w:id="10" w:name="Par579_Копия_1_Копия_1"/>
      <w:bookmarkStart w:id="11" w:name="_GoBack_Копия_1_Копия_1"/>
      <w:bookmarkEnd w:id="0"/>
      <w:bookmarkEnd w:id="10"/>
      <w:bookmarkEnd w:id="11"/>
    </w:p>
    <w:sectPr>
      <w:type w:val="nextPage"/>
      <w:pgSz w:w="11906" w:h="16838"/>
      <w:pgMar w:left="1398" w:right="850" w:gutter="0" w:header="0" w:top="928" w:footer="0" w:bottom="113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swiss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8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4">
    <w:name w:val="heading 4"/>
    <w:basedOn w:val="user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d73416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styleId="Style14">
    <w:name w:val="Заголовок Знак"/>
    <w:qFormat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Style15">
    <w:name w:val="Верхний колонтитул Знак"/>
    <w:qFormat/>
    <w:rPr>
      <w:rFonts w:ascii="Times New Roman" w:hAnsi="Times New Roman" w:cs="Times New Roman"/>
      <w:sz w:val="24"/>
      <w:szCs w:val="24"/>
      <w:lang w:eastAsia="ru-RU"/>
    </w:rPr>
  </w:style>
  <w:style w:type="character" w:styleId="Style16">
    <w:name w:val="Основной текст с отступом Знак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7">
    <w:name w:val="Гипертекстовая ссылка"/>
    <w:qFormat/>
    <w:rPr>
      <w:b/>
      <w:bCs/>
      <w:color w:val="008000"/>
    </w:rPr>
  </w:style>
  <w:style w:type="character" w:styleId="Style18">
    <w:name w:val="Основной шрифт абзаца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1">
    <w:name w:val="WW8Num1z1"/>
    <w:qFormat/>
    <w:rPr>
      <w:rFonts w:ascii="Times New Roman" w:hAnsi="Times New Roman" w:eastAsia="Times New Roman" w:cs="Times New Roman"/>
    </w:rPr>
  </w:style>
  <w:style w:type="character" w:styleId="WW8Num1z0">
    <w:name w:val="WW8Num1z0"/>
    <w:qFormat/>
    <w:rPr/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d7341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tugulym.midural.ru/" TargetMode="External"/><Relationship Id="rId4" Type="http://schemas.openxmlformats.org/officeDocument/2006/relationships/hyperlink" Target="consultantplus://offline/ref=561FB4C9786C87E7D212ED76C694385B3A184F6886237E5E02CD60FEA159267979DDE64DC52DE7887CF19E40DDB0F6A2E6D533CCA9A8A5CB295B9BU758K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C2FBD-3FAE-432B-B924-A55A2D52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Application>LibreOffice/25.8.4.2$Linux_X86_64 LibreOffice_project/290daaa01b999472f0c7a3890eb6a550fd74c6df</Application>
  <AppVersion>15.0000</AppVersion>
  <Pages>7</Pages>
  <Words>1800</Words>
  <Characters>13410</Characters>
  <CharactersWithSpaces>15597</CharactersWithSpaces>
  <Paragraphs>186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2025-12-29T07:34:00Z</dcterms:created>
  <dc:creator>Пк</dc:creator>
  <dc:description/>
  <dc:language>ru-RU</dc:language>
  <cp:lastModifiedBy/>
  <cp:lastPrinted>2026-01-26T16:00:45Z</cp:lastPrinted>
  <dcterms:modified xsi:type="dcterms:W3CDTF">2026-01-26T16:03:20Z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